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#119</w:t>
      </w:r>
      <w:r>
        <w:rPr>
          <w:rFonts w:hint="eastAsia" w:ascii="Arial" w:hAnsi="Arial" w:eastAsia="宋体" w:cs="Arial"/>
          <w:b/>
          <w:kern w:val="0"/>
          <w:sz w:val="24"/>
          <w:szCs w:val="24"/>
        </w:rPr>
        <w:t>bis</w:t>
      </w:r>
      <w:r>
        <w:rPr>
          <w:rFonts w:ascii="Arial" w:hAnsi="Arial" w:eastAsia="MS Mincho" w:cs="Arial"/>
          <w:b/>
          <w:kern w:val="0"/>
          <w:sz w:val="24"/>
          <w:szCs w:val="24"/>
          <w:lang w:val="en-GB" w:eastAsia="en-GB"/>
        </w:rPr>
        <w:t xml:space="preserve">-e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w:t>
      </w:r>
      <w:r>
        <w:rPr>
          <w:rFonts w:hint="eastAsia" w:ascii="Arial" w:hAnsi="Arial" w:eastAsia="宋体" w:cs="Arial"/>
          <w:b/>
          <w:kern w:val="0"/>
          <w:sz w:val="22"/>
          <w:lang w:val="en-US" w:eastAsia="zh-CN"/>
        </w:rPr>
        <w:t>10152</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ascii="Arial" w:hAnsi="Arial" w:eastAsia="宋体" w:cs="Arial"/>
          <w:b/>
          <w:bCs/>
          <w:kern w:val="0"/>
          <w:sz w:val="24"/>
          <w:szCs w:val="24"/>
          <w:lang w:val="en-GB"/>
        </w:rPr>
        <w:t>Electronic Meeting, 1</w:t>
      </w:r>
      <w:r>
        <w:rPr>
          <w:rFonts w:hint="eastAsia" w:ascii="Arial" w:hAnsi="Arial" w:eastAsia="宋体" w:cs="Arial"/>
          <w:b/>
          <w:bCs/>
          <w:kern w:val="0"/>
          <w:sz w:val="24"/>
          <w:szCs w:val="24"/>
        </w:rPr>
        <w:t>0</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rPr>
        <w:t>1</w:t>
      </w:r>
      <w:r>
        <w:rPr>
          <w:rFonts w:ascii="Arial" w:hAnsi="Arial" w:eastAsia="宋体" w:cs="Arial"/>
          <w:b/>
          <w:bCs/>
          <w:kern w:val="0"/>
          <w:sz w:val="24"/>
          <w:szCs w:val="24"/>
          <w:lang w:val="en-GB"/>
        </w:rPr>
        <w:t xml:space="preserve">9 </w:t>
      </w:r>
      <w:r>
        <w:rPr>
          <w:rFonts w:hint="eastAsia" w:ascii="Arial" w:hAnsi="Arial" w:eastAsia="宋体" w:cs="Arial"/>
          <w:b/>
          <w:bCs/>
          <w:kern w:val="0"/>
          <w:sz w:val="24"/>
          <w:szCs w:val="24"/>
        </w:rPr>
        <w:t>October</w:t>
      </w:r>
      <w:r>
        <w:rPr>
          <w:rFonts w:ascii="Arial" w:hAnsi="Arial" w:eastAsia="宋体" w:cs="Arial"/>
          <w:b/>
          <w:bCs/>
          <w:kern w:val="0"/>
          <w:sz w:val="24"/>
          <w:szCs w:val="24"/>
          <w:lang w:val="en-GB"/>
        </w:rPr>
        <w: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6</w:t>
      </w:r>
      <w:r>
        <w:rPr>
          <w:rFonts w:ascii="Arial" w:hAnsi="Arial" w:eastAsia="宋体" w:cs="Arial"/>
          <w:b/>
          <w:bCs/>
          <w:kern w:val="0"/>
          <w:sz w:val="24"/>
          <w:szCs w:val="20"/>
          <w:lang w:val="en-GB"/>
        </w:rPr>
        <w:t>.</w:t>
      </w:r>
      <w:r>
        <w:rPr>
          <w:rFonts w:hint="eastAsia" w:ascii="Arial" w:hAnsi="Arial" w:eastAsia="宋体" w:cs="Arial"/>
          <w:b/>
          <w:bCs/>
          <w:kern w:val="0"/>
          <w:sz w:val="24"/>
          <w:szCs w:val="20"/>
        </w:rPr>
        <w:t>2</w:t>
      </w:r>
      <w:r>
        <w:rPr>
          <w:rFonts w:hint="eastAsia" w:ascii="Arial" w:hAnsi="Arial" w:eastAsia="宋体" w:cs="Arial"/>
          <w:b/>
          <w:bCs/>
          <w:kern w:val="0"/>
          <w:sz w:val="24"/>
          <w:szCs w:val="20"/>
          <w:lang w:val="en-US" w:eastAsia="zh-CN"/>
        </w:rPr>
        <w:t>.1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rPr>
        <w:t>HARQ enhancement for IoT-NTN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w:t>
      </w:r>
      <w:r>
        <w:rPr>
          <w:rFonts w:hint="eastAsia" w:ascii="Arial" w:hAnsi="Arial" w:eastAsia="宋体" w:cs="Arial"/>
          <w:kern w:val="0"/>
          <w:sz w:val="20"/>
          <w:szCs w:val="20"/>
        </w:rPr>
        <w:t>2</w:t>
      </w:r>
      <w:r>
        <w:rPr>
          <w:rFonts w:ascii="Arial" w:hAnsi="Arial" w:eastAsia="宋体" w:cs="Arial"/>
          <w:kern w:val="0"/>
          <w:sz w:val="20"/>
          <w:szCs w:val="20"/>
          <w:lang w:val="en-GB" w:eastAsia="en-US"/>
        </w:rPr>
        <w:t>#</w:t>
      </w:r>
      <w:r>
        <w:rPr>
          <w:rFonts w:hint="eastAsia" w:ascii="Arial" w:hAnsi="Arial" w:eastAsia="宋体" w:cs="Arial"/>
          <w:kern w:val="0"/>
          <w:sz w:val="20"/>
          <w:szCs w:val="20"/>
        </w:rPr>
        <w:t>119</w:t>
      </w:r>
      <w:r>
        <w:rPr>
          <w:rFonts w:hint="eastAsia" w:ascii="Arial" w:hAnsi="Arial" w:eastAsia="宋体" w:cs="Arial"/>
          <w:kern w:val="0"/>
          <w:sz w:val="20"/>
          <w:szCs w:val="20"/>
          <w:lang w:val="en-GB"/>
        </w:rPr>
        <w:t xml:space="preserve">-e </w:t>
      </w:r>
      <w:r>
        <w:rPr>
          <w:rFonts w:hint="eastAsia" w:ascii="Arial" w:hAnsi="Arial" w:eastAsia="宋体" w:cs="Arial"/>
          <w:kern w:val="0"/>
          <w:sz w:val="20"/>
          <w:szCs w:val="20"/>
        </w:rPr>
        <w:t>[1]</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the following agreements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on</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performance enhancements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are achieved</w:t>
      </w:r>
      <w:r>
        <w:rPr>
          <w:rFonts w:ascii="Arial" w:hAnsi="Arial" w:eastAsia="宋体" w:cs="Arial"/>
          <w:kern w:val="0"/>
          <w:sz w:val="20"/>
          <w:szCs w:val="20"/>
          <w:lang w:val="en-GB" w:eastAsia="en-US"/>
        </w:rPr>
        <w:t xml:space="preserve">: </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pStyle w:val="18"/>
              <w:widowControl/>
              <w:numPr>
                <w:ilvl w:val="0"/>
                <w:numId w:val="1"/>
              </w:numPr>
              <w:overflowPunct w:val="0"/>
              <w:spacing w:afterLines="50"/>
              <w:ind w:left="1497" w:hanging="363"/>
              <w:rPr>
                <w:rFonts w:ascii="Arial" w:hAnsi="Arial" w:cs="Arial"/>
                <w:sz w:val="20"/>
                <w:szCs w:val="22"/>
                <w:lang w:val="en-GB" w:eastAsia="en-GB"/>
              </w:rPr>
            </w:pPr>
            <w:r>
              <w:rPr>
                <w:rFonts w:ascii="Arial" w:hAnsi="Arial" w:cs="Arial"/>
                <w:sz w:val="20"/>
                <w:szCs w:val="22"/>
                <w:lang w:val="en-GB" w:eastAsia="en-GB"/>
              </w:rPr>
              <w:t>Disabling DL HARQ feedback is supported for NB-IoT and eMTC NTN. FFS on UE capability</w:t>
            </w:r>
          </w:p>
          <w:p>
            <w:pPr>
              <w:pStyle w:val="18"/>
              <w:widowControl/>
              <w:numPr>
                <w:ilvl w:val="0"/>
                <w:numId w:val="1"/>
              </w:numPr>
              <w:overflowPunct w:val="0"/>
              <w:spacing w:afterLines="50"/>
              <w:ind w:left="1497" w:hanging="363"/>
              <w:rPr>
                <w:rFonts w:ascii="Arial" w:hAnsi="Arial" w:cs="Arial"/>
                <w:sz w:val="20"/>
                <w:szCs w:val="22"/>
                <w:lang w:val="en-GB" w:eastAsia="en-GB"/>
              </w:rPr>
            </w:pPr>
            <w:r>
              <w:rPr>
                <w:rFonts w:ascii="Arial" w:hAnsi="Arial" w:cs="Arial"/>
                <w:sz w:val="20"/>
                <w:szCs w:val="22"/>
                <w:lang w:val="en-GB" w:eastAsia="en-GB"/>
              </w:rPr>
              <w:t>For UL HARQ operation, introduce two HARQ modes, i.e., HARQ mode A and HARQ mode B in IoT NTN (both NB-IoT and eMTC NTN), similarly to NR NTN</w:t>
            </w:r>
          </w:p>
          <w:p>
            <w:pPr>
              <w:pStyle w:val="18"/>
              <w:widowControl/>
              <w:numPr>
                <w:ilvl w:val="0"/>
                <w:numId w:val="1"/>
              </w:numPr>
              <w:overflowPunct w:val="0"/>
              <w:spacing w:afterLines="50"/>
              <w:ind w:left="1497" w:hanging="363"/>
              <w:rPr>
                <w:rFonts w:ascii="Arial" w:hAnsi="Arial" w:cs="Arial"/>
                <w:sz w:val="20"/>
                <w:szCs w:val="22"/>
                <w:lang w:val="en-GB" w:eastAsia="en-GB"/>
              </w:rPr>
            </w:pPr>
            <w:r>
              <w:rPr>
                <w:rFonts w:ascii="Arial" w:hAnsi="Arial" w:cs="Arial"/>
                <w:sz w:val="20"/>
                <w:szCs w:val="22"/>
                <w:lang w:val="en-GB" w:eastAsia="en-GB"/>
              </w:rPr>
              <w:t xml:space="preserve">From RAN2 perspective, at least for eMTC, enabling/disabling HARQ feedback can be configured per DL HARQ process at least via UE specific RRC signalling. FFS for NB-IoT (and especially for CP solution for NB-IOT). </w:t>
            </w:r>
          </w:p>
          <w:p>
            <w:pPr>
              <w:pStyle w:val="18"/>
              <w:widowControl/>
              <w:numPr>
                <w:ilvl w:val="0"/>
                <w:numId w:val="1"/>
              </w:numPr>
              <w:overflowPunct w:val="0"/>
              <w:spacing w:afterLines="50"/>
              <w:ind w:left="1497" w:hanging="363"/>
              <w:rPr>
                <w:rFonts w:ascii="Times New Roman" w:hAnsi="Times New Roman" w:eastAsia="宋体" w:cs="Times New Roman"/>
                <w:kern w:val="0"/>
                <w:sz w:val="20"/>
                <w:szCs w:val="20"/>
                <w:lang w:val="en-GB" w:eastAsia="en-GB"/>
              </w:rPr>
            </w:pPr>
            <w:r>
              <w:rPr>
                <w:rFonts w:ascii="Arial" w:hAnsi="Arial" w:cs="Arial"/>
                <w:sz w:val="20"/>
                <w:szCs w:val="22"/>
                <w:lang w:val="en-GB" w:eastAsia="en-GB"/>
              </w:rPr>
              <w:t>Discuss in offline 119 whether to send an LS to RAN1 to inform of the RAN2 decision for eMTC, saying that we are still discussing for NB-IoT, and check if they have any concern with using RRC (in which case we can reconsider)</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ascii="Arial" w:hAnsi="Arial" w:eastAsia="宋体" w:cs="Arial"/>
          <w:kern w:val="0"/>
          <w:sz w:val="20"/>
          <w:szCs w:val="20"/>
          <w:lang w:val="en-GB"/>
        </w:rPr>
      </w:pPr>
      <w:r>
        <w:rPr>
          <w:rFonts w:ascii="Arial" w:hAnsi="Arial" w:eastAsia="宋体" w:cs="Arial"/>
          <w:kern w:val="0"/>
          <w:sz w:val="20"/>
          <w:szCs w:val="20"/>
          <w:lang w:val="en-GB"/>
        </w:rPr>
        <w:t xml:space="preserve">This contribution will discuss the potential </w:t>
      </w:r>
      <w:r>
        <w:rPr>
          <w:rFonts w:hint="eastAsia" w:ascii="Arial" w:hAnsi="Arial" w:eastAsia="宋体" w:cs="Arial"/>
          <w:kern w:val="0"/>
          <w:sz w:val="20"/>
          <w:szCs w:val="20"/>
        </w:rPr>
        <w:t>HARQ enhancements for IoT-NTN</w:t>
      </w:r>
      <w:r>
        <w:rPr>
          <w:rFonts w:ascii="Arial" w:hAnsi="Arial" w:eastAsia="宋体" w:cs="Arial"/>
          <w:kern w:val="0"/>
          <w:sz w:val="20"/>
          <w:szCs w:val="20"/>
          <w:lang w:val="en-GB"/>
        </w:rPr>
        <w:t>.</w:t>
      </w:r>
    </w:p>
    <w:p>
      <w:pPr>
        <w:keepNext/>
        <w:keepLines/>
        <w:widowControl/>
        <w:numPr>
          <w:ilvl w:val="0"/>
          <w:numId w:val="2"/>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keepNext/>
        <w:keepLines/>
        <w:widowControl/>
        <w:pBdr>
          <w:top w:val="single" w:color="auto" w:sz="12" w:space="3"/>
        </w:pBdr>
        <w:spacing w:before="240" w:after="180"/>
        <w:jc w:val="left"/>
        <w:outlineLvl w:val="1"/>
        <w:rPr>
          <w:rFonts w:ascii="Arial" w:hAnsi="Arial" w:eastAsia="宋体" w:cs="Arial"/>
          <w:kern w:val="0"/>
          <w:sz w:val="32"/>
          <w:szCs w:val="18"/>
        </w:rPr>
      </w:pPr>
      <w:r>
        <w:rPr>
          <w:rFonts w:ascii="Arial" w:hAnsi="Arial" w:eastAsia="宋体" w:cs="Arial"/>
          <w:kern w:val="0"/>
          <w:sz w:val="32"/>
          <w:szCs w:val="18"/>
        </w:rPr>
        <w:t>2.1 Configuration</w:t>
      </w:r>
      <w:r>
        <w:rPr>
          <w:rFonts w:hint="eastAsia" w:ascii="Arial" w:hAnsi="Arial" w:eastAsia="宋体" w:cs="Arial"/>
          <w:kern w:val="0"/>
          <w:sz w:val="32"/>
          <w:szCs w:val="18"/>
        </w:rPr>
        <w:t xml:space="preserve"> of enabling/disabling HARQ feedback</w:t>
      </w:r>
    </w:p>
    <w:p>
      <w:pPr>
        <w:widowControl/>
        <w:spacing w:after="180"/>
        <w:rPr>
          <w:rFonts w:ascii="Arial" w:hAnsi="Arial" w:cs="Arial"/>
          <w:b/>
          <w:bCs/>
          <w:sz w:val="20"/>
        </w:rPr>
      </w:pPr>
      <w:r>
        <w:rPr>
          <w:rFonts w:hint="eastAsia" w:ascii="Arial" w:hAnsi="Arial" w:eastAsia="宋体" w:cs="Arial"/>
          <w:kern w:val="0"/>
          <w:sz w:val="20"/>
          <w:szCs w:val="20"/>
        </w:rPr>
        <w:t xml:space="preserve">RAN2 has agreed that </w:t>
      </w:r>
      <w:r>
        <w:rPr>
          <w:rFonts w:ascii="Arial" w:hAnsi="Arial" w:cs="Arial"/>
          <w:sz w:val="20"/>
        </w:rPr>
        <w:t xml:space="preserve">enabling/disabling HARQ feedback can be configured per DL HARQ process at least via UE specific RRC </w:t>
      </w:r>
      <w:r>
        <w:rPr>
          <w:rFonts w:hint="eastAsia" w:ascii="Arial" w:hAnsi="Arial" w:cs="Arial"/>
          <w:sz w:val="20"/>
        </w:rPr>
        <w:t xml:space="preserve">signaling for eMTC, and FFS for NB-IoT. </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Meanwhile, RAN1 has also discussed the configuration/indication of enabling/disabling on HARQ feedback for downlink transmission for NB-IoT, and achieved the following agreements in RAN1#110:</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after="120"/>
              <w:rPr>
                <w:rFonts w:ascii="Arial" w:hAnsi="Arial" w:eastAsia="宋体" w:cs="Arial"/>
                <w:b/>
                <w:bCs/>
                <w:sz w:val="20"/>
                <w:szCs w:val="20"/>
                <w:lang w:val="en-GB" w:eastAsia="en-GB"/>
              </w:rPr>
            </w:pPr>
            <w:r>
              <w:rPr>
                <w:rFonts w:ascii="Arial" w:hAnsi="Arial" w:eastAsia="宋体" w:cs="Arial"/>
                <w:b/>
                <w:bCs/>
                <w:sz w:val="20"/>
                <w:szCs w:val="20"/>
                <w:highlight w:val="green"/>
                <w:lang w:val="en-GB" w:eastAsia="en-GB"/>
              </w:rPr>
              <w:t>Agreement</w:t>
            </w:r>
          </w:p>
          <w:p>
            <w:pPr>
              <w:widowControl/>
              <w:overflowPunct w:val="0"/>
              <w:autoSpaceDE w:val="0"/>
              <w:autoSpaceDN w:val="0"/>
              <w:adjustRightInd w:val="0"/>
              <w:spacing w:after="180"/>
              <w:textAlignment w:val="baseline"/>
              <w:rPr>
                <w:rFonts w:ascii="Arial" w:hAnsi="Arial" w:eastAsia="宋体" w:cs="Arial"/>
                <w:sz w:val="20"/>
                <w:szCs w:val="20"/>
                <w:lang w:val="en-GB" w:eastAsia="en-GB"/>
              </w:rPr>
            </w:pPr>
            <w:r>
              <w:rPr>
                <w:rFonts w:ascii="Arial" w:hAnsi="Arial" w:eastAsia="宋体" w:cs="Arial"/>
                <w:sz w:val="20"/>
                <w:szCs w:val="20"/>
                <w:lang w:val="en-GB" w:eastAsia="en-GB"/>
              </w:rPr>
              <w:t>For NB-IoT NTN, to configure/indicate enabling/disabling of HARQ feedback for downlink transmission, down select one or more from the following options:</w:t>
            </w:r>
          </w:p>
          <w:p>
            <w:pPr>
              <w:widowControl/>
              <w:numPr>
                <w:ilvl w:val="0"/>
                <w:numId w:val="3"/>
              </w:numPr>
              <w:overflowPunct w:val="0"/>
              <w:autoSpaceDE w:val="0"/>
              <w:autoSpaceDN w:val="0"/>
              <w:adjustRightInd w:val="0"/>
              <w:spacing w:after="180"/>
              <w:textAlignment w:val="baseline"/>
              <w:rPr>
                <w:rFonts w:ascii="Arial" w:hAnsi="Arial" w:eastAsia="宋体" w:cs="Arial"/>
                <w:sz w:val="20"/>
                <w:szCs w:val="20"/>
                <w:lang w:val="en-GB" w:eastAsia="en-GB"/>
              </w:rPr>
            </w:pPr>
            <w:r>
              <w:rPr>
                <w:rFonts w:ascii="Arial" w:hAnsi="Arial" w:eastAsia="宋体" w:cs="Arial"/>
                <w:sz w:val="20"/>
                <w:szCs w:val="20"/>
                <w:lang w:val="en-GB" w:eastAsia="en-GB"/>
              </w:rPr>
              <w:t>Option 1: per HARQ process via UE specific RRC signaling</w:t>
            </w:r>
          </w:p>
          <w:p>
            <w:pPr>
              <w:widowControl/>
              <w:numPr>
                <w:ilvl w:val="0"/>
                <w:numId w:val="3"/>
              </w:numPr>
              <w:overflowPunct w:val="0"/>
              <w:autoSpaceDE w:val="0"/>
              <w:autoSpaceDN w:val="0"/>
              <w:adjustRightInd w:val="0"/>
              <w:spacing w:after="180"/>
              <w:textAlignment w:val="baseline"/>
              <w:rPr>
                <w:rFonts w:ascii="Arial" w:hAnsi="Arial" w:eastAsia="宋体" w:cs="Arial"/>
                <w:sz w:val="20"/>
                <w:szCs w:val="20"/>
                <w:lang w:val="en-GB" w:eastAsia="en-GB"/>
              </w:rPr>
            </w:pPr>
            <w:r>
              <w:rPr>
                <w:rFonts w:ascii="Arial" w:hAnsi="Arial" w:eastAsia="宋体" w:cs="Arial"/>
                <w:sz w:val="20"/>
                <w:szCs w:val="20"/>
                <w:lang w:val="en-GB" w:eastAsia="en-GB"/>
              </w:rPr>
              <w:t>Option 3: explicitly indicated by DCI (e.g., new field or reusing existing field)</w:t>
            </w:r>
          </w:p>
          <w:p>
            <w:pPr>
              <w:widowControl/>
              <w:numPr>
                <w:ilvl w:val="0"/>
                <w:numId w:val="3"/>
              </w:numPr>
              <w:overflowPunct w:val="0"/>
              <w:autoSpaceDE w:val="0"/>
              <w:autoSpaceDN w:val="0"/>
              <w:adjustRightInd w:val="0"/>
              <w:spacing w:after="180"/>
              <w:textAlignment w:val="baseline"/>
              <w:rPr>
                <w:rFonts w:ascii="Arial" w:hAnsi="Arial" w:eastAsia="宋体" w:cs="Arial"/>
                <w:kern w:val="0"/>
                <w:sz w:val="20"/>
                <w:szCs w:val="20"/>
                <w:lang w:val="en-GB" w:eastAsia="en-GB"/>
              </w:rPr>
            </w:pPr>
            <w:r>
              <w:rPr>
                <w:rFonts w:ascii="Arial" w:hAnsi="Arial" w:eastAsia="宋体" w:cs="Arial"/>
                <w:sz w:val="20"/>
                <w:szCs w:val="20"/>
                <w:lang w:val="en-GB" w:eastAsia="en-GB"/>
              </w:rPr>
              <w:t>Option 4: implicitly indicated by existing configured/indicated/combined parameter(s) in the DCI (e.g., repetition number, TBS)</w:t>
            </w:r>
          </w:p>
        </w:tc>
      </w:tr>
    </w:tbl>
    <w:p>
      <w:pPr>
        <w:widowControl/>
        <w:spacing w:beforeLines="50" w:after="180"/>
        <w:rPr>
          <w:rFonts w:ascii="Arial" w:hAnsi="Arial" w:cs="Arial"/>
          <w:sz w:val="20"/>
        </w:rPr>
      </w:pPr>
      <w:r>
        <w:rPr>
          <w:rFonts w:hint="eastAsia" w:ascii="Arial" w:hAnsi="Arial" w:cs="Arial"/>
          <w:sz w:val="20"/>
        </w:rPr>
        <w:t>RAN1 has no consensus achieved on configuration of enabling/disabling on HARQ feedback via single or combination solution. Whether this configuration can be dynamically indicated via DCI is up to RAN1 discussion. RAN2 can wait for RAN1</w:t>
      </w:r>
      <w:r>
        <w:rPr>
          <w:rFonts w:ascii="Arial" w:hAnsi="Arial" w:cs="Arial"/>
          <w:sz w:val="20"/>
        </w:rPr>
        <w:t>’</w:t>
      </w:r>
      <w:r>
        <w:rPr>
          <w:rFonts w:hint="eastAsia" w:ascii="Arial" w:hAnsi="Arial" w:cs="Arial"/>
          <w:sz w:val="20"/>
        </w:rPr>
        <w:t>s progress.</w:t>
      </w:r>
    </w:p>
    <w:p>
      <w:pPr>
        <w:widowControl/>
        <w:spacing w:beforeLines="50" w:after="180"/>
        <w:rPr>
          <w:rFonts w:ascii="Arial" w:hAnsi="Arial" w:cs="Arial"/>
          <w:b/>
          <w:bCs/>
          <w:sz w:val="20"/>
        </w:rPr>
      </w:pPr>
      <w:r>
        <w:rPr>
          <w:rFonts w:hint="eastAsia" w:ascii="Arial" w:hAnsi="Arial" w:cs="Arial"/>
          <w:b/>
          <w:bCs/>
          <w:sz w:val="20"/>
        </w:rPr>
        <w:t>Observation 1: Whether the configuration of enabling/disabling on DL HARQ feedback can be dynamically indicated via DCI is up to RAN1 discussion.</w:t>
      </w:r>
    </w:p>
    <w:p>
      <w:pPr>
        <w:widowControl/>
        <w:spacing w:after="180"/>
        <w:rPr>
          <w:rFonts w:ascii="Arial" w:hAnsi="Arial" w:cs="Arial"/>
          <w:sz w:val="20"/>
        </w:rPr>
      </w:pPr>
      <w:r>
        <w:rPr>
          <w:rFonts w:hint="eastAsia" w:ascii="Arial" w:hAnsi="Arial" w:cs="Arial"/>
          <w:sz w:val="20"/>
        </w:rPr>
        <w:t xml:space="preserve">From RAN2 perspective, the same mechanism (CP based solution) as eMTC can be used for NB-IoT. But it is noted that enabling/disabling HARQ feedback is configured in RRCReconfiguration message in NR NTN. However, NB-IoT CP solutions do not use RRCReconfiguration message. And considering there is no security risk and privacy </w:t>
      </w:r>
      <w:r>
        <w:rPr>
          <w:rFonts w:hint="eastAsia" w:ascii="Arial" w:hAnsi="Arial" w:cs="Arial"/>
          <w:sz w:val="20"/>
          <w:lang w:val="en-US" w:eastAsia="zh-CN"/>
        </w:rPr>
        <w:t xml:space="preserve">issue </w:t>
      </w:r>
      <w:r>
        <w:rPr>
          <w:rFonts w:hint="eastAsia" w:ascii="Arial" w:hAnsi="Arial" w:cs="Arial"/>
          <w:sz w:val="20"/>
        </w:rPr>
        <w:t xml:space="preserve">of leaking HARQ relevant information. Hence, </w:t>
      </w:r>
      <w:r>
        <w:rPr>
          <w:rFonts w:hint="eastAsia" w:ascii="Arial" w:hAnsi="Arial" w:cs="Arial"/>
          <w:sz w:val="20"/>
          <w:highlight w:val="none"/>
          <w:lang w:eastAsia="zh-CN"/>
        </w:rPr>
        <w:t>R</w:t>
      </w:r>
      <w:r>
        <w:rPr>
          <w:rFonts w:hint="eastAsia" w:ascii="Arial" w:hAnsi="Arial" w:cs="Arial"/>
          <w:sz w:val="20"/>
          <w:highlight w:val="none"/>
          <w:lang w:val="en-US" w:eastAsia="zh-CN"/>
        </w:rPr>
        <w:t>RCConnectionSetup</w:t>
      </w:r>
      <w:r>
        <w:rPr>
          <w:rFonts w:hint="eastAsia" w:ascii="Arial" w:hAnsi="Arial" w:cs="Arial"/>
          <w:sz w:val="20"/>
        </w:rPr>
        <w:t xml:space="preserve"> could be used for NB-IoT, although security protection is not started at that point. </w:t>
      </w:r>
    </w:p>
    <w:p>
      <w:pPr>
        <w:widowControl/>
        <w:spacing w:after="180"/>
        <w:rPr>
          <w:rFonts w:hint="eastAsia" w:ascii="Arial" w:hAnsi="Arial" w:cs="Arial" w:eastAsiaTheme="minorEastAsia"/>
          <w:b/>
          <w:bCs/>
          <w:sz w:val="20"/>
          <w:lang w:val="en-US" w:eastAsia="zh-CN"/>
        </w:rPr>
      </w:pPr>
      <w:r>
        <w:rPr>
          <w:rFonts w:hint="eastAsia" w:ascii="Arial" w:hAnsi="Arial" w:cs="Arial"/>
          <w:b/>
          <w:bCs/>
          <w:sz w:val="20"/>
        </w:rPr>
        <w:t>Observation</w:t>
      </w:r>
      <w:r>
        <w:rPr>
          <w:rFonts w:hint="eastAsia" w:ascii="Arial" w:hAnsi="Arial" w:cs="Arial"/>
          <w:b/>
          <w:bCs/>
          <w:sz w:val="20"/>
          <w:lang w:val="en-US" w:eastAsia="zh-CN"/>
        </w:rPr>
        <w:t xml:space="preserve"> 2</w:t>
      </w:r>
      <w:r>
        <w:rPr>
          <w:rFonts w:hint="eastAsia" w:ascii="Arial" w:hAnsi="Arial" w:cs="Arial"/>
          <w:b/>
          <w:bCs/>
          <w:sz w:val="20"/>
        </w:rPr>
        <w:t>: NB-IoT CP solutions do not use RRCReconfiguration message</w:t>
      </w:r>
      <w:r>
        <w:rPr>
          <w:rFonts w:hint="eastAsia" w:ascii="Arial" w:hAnsi="Arial" w:cs="Arial"/>
          <w:b/>
          <w:bCs/>
          <w:sz w:val="20"/>
          <w:lang w:val="en-US" w:eastAsia="zh-CN"/>
        </w:rPr>
        <w:t xml:space="preserve">, and </w:t>
      </w:r>
      <w:r>
        <w:rPr>
          <w:rFonts w:hint="eastAsia" w:ascii="Arial" w:hAnsi="Arial" w:cs="Arial"/>
          <w:b/>
          <w:bCs/>
          <w:sz w:val="20"/>
        </w:rPr>
        <w:t xml:space="preserve">there is no security risk and privacy </w:t>
      </w:r>
      <w:r>
        <w:rPr>
          <w:rFonts w:hint="eastAsia" w:ascii="Arial" w:hAnsi="Arial" w:cs="Arial"/>
          <w:b/>
          <w:bCs/>
          <w:sz w:val="20"/>
          <w:lang w:val="en-US" w:eastAsia="zh-CN"/>
        </w:rPr>
        <w:t xml:space="preserve">issue </w:t>
      </w:r>
      <w:r>
        <w:rPr>
          <w:rFonts w:hint="eastAsia" w:ascii="Arial" w:hAnsi="Arial" w:cs="Arial"/>
          <w:b/>
          <w:bCs/>
          <w:sz w:val="20"/>
        </w:rPr>
        <w:t>of leaking HARQ relevant information</w:t>
      </w:r>
      <w:r>
        <w:rPr>
          <w:rFonts w:hint="eastAsia" w:ascii="Arial" w:hAnsi="Arial" w:cs="Arial"/>
          <w:b/>
          <w:bCs/>
          <w:sz w:val="20"/>
          <w:lang w:val="en-US" w:eastAsia="zh-CN"/>
        </w:rPr>
        <w:t>.</w:t>
      </w:r>
    </w:p>
    <w:p>
      <w:pPr>
        <w:widowControl/>
        <w:spacing w:after="180"/>
        <w:rPr>
          <w:rFonts w:ascii="Arial" w:hAnsi="Arial" w:cs="Arial"/>
          <w:b/>
          <w:bCs/>
          <w:sz w:val="20"/>
        </w:rPr>
      </w:pPr>
      <w:r>
        <w:rPr>
          <w:rFonts w:hint="eastAsia" w:ascii="Arial" w:hAnsi="Arial" w:cs="Arial"/>
          <w:b/>
          <w:bCs/>
          <w:sz w:val="20"/>
        </w:rPr>
        <w:t xml:space="preserve">Proposal 1: For NB-IoT, </w:t>
      </w:r>
      <w:r>
        <w:rPr>
          <w:rFonts w:ascii="Arial" w:hAnsi="Arial" w:cs="Arial"/>
          <w:b/>
          <w:bCs/>
          <w:sz w:val="20"/>
        </w:rPr>
        <w:t xml:space="preserve">enabling/disabling HARQ feedback can be configured per DL HARQ process at least via UE specific RRC </w:t>
      </w:r>
      <w:r>
        <w:rPr>
          <w:rFonts w:hint="eastAsia" w:ascii="Arial" w:hAnsi="Arial" w:cs="Arial"/>
          <w:b/>
          <w:bCs/>
          <w:sz w:val="20"/>
        </w:rPr>
        <w:t xml:space="preserve">signaling (e.g. </w:t>
      </w:r>
      <w:r>
        <w:rPr>
          <w:rFonts w:hint="eastAsia" w:ascii="Arial" w:hAnsi="Arial" w:cs="Arial"/>
          <w:b/>
          <w:bCs/>
          <w:sz w:val="20"/>
          <w:highlight w:val="none"/>
          <w:lang w:eastAsia="zh-CN"/>
        </w:rPr>
        <w:t>R</w:t>
      </w:r>
      <w:r>
        <w:rPr>
          <w:rFonts w:hint="eastAsia" w:ascii="Arial" w:hAnsi="Arial" w:cs="Arial"/>
          <w:b/>
          <w:bCs/>
          <w:sz w:val="20"/>
          <w:highlight w:val="none"/>
          <w:lang w:val="en-US" w:eastAsia="zh-CN"/>
        </w:rPr>
        <w:t>RCConnectionSetup</w:t>
      </w:r>
      <w:r>
        <w:rPr>
          <w:rFonts w:hint="eastAsia" w:ascii="Arial" w:hAnsi="Arial" w:cs="Arial"/>
          <w:b/>
          <w:bCs/>
          <w:sz w:val="20"/>
        </w:rPr>
        <w:t xml:space="preserve">). </w:t>
      </w:r>
    </w:p>
    <w:p>
      <w:pPr>
        <w:widowControl/>
        <w:spacing w:after="180"/>
        <w:rPr>
          <w:rFonts w:ascii="Arial" w:hAnsi="Arial" w:eastAsia="宋体" w:cs="Arial"/>
          <w:kern w:val="0"/>
          <w:sz w:val="20"/>
          <w:szCs w:val="20"/>
        </w:rPr>
      </w:pPr>
      <w:r>
        <w:rPr>
          <w:rFonts w:ascii="Arial" w:hAnsi="Arial" w:eastAsia="宋体" w:cs="Arial"/>
          <w:kern w:val="0"/>
          <w:sz w:val="20"/>
          <w:szCs w:val="20"/>
        </w:rPr>
        <w:t xml:space="preserve">Considering eMTC or NB-IoT </w:t>
      </w:r>
      <w:r>
        <w:rPr>
          <w:rFonts w:hint="eastAsia" w:ascii="Arial" w:hAnsi="Arial" w:eastAsia="宋体" w:cs="Arial"/>
          <w:kern w:val="0"/>
          <w:sz w:val="20"/>
          <w:szCs w:val="20"/>
        </w:rPr>
        <w:t>UE expects that any PDSCH carrying a MAC CE command, whose activation/deactivation time is coupled to the transmission time of the associated HARQ-ACK</w:t>
      </w:r>
      <w:r>
        <w:rPr>
          <w:rFonts w:ascii="Arial" w:hAnsi="Arial" w:eastAsia="宋体" w:cs="Arial"/>
          <w:kern w:val="0"/>
          <w:sz w:val="20"/>
          <w:szCs w:val="20"/>
        </w:rPr>
        <w:t xml:space="preserve">. </w:t>
      </w:r>
      <w:r>
        <w:rPr>
          <w:rFonts w:hint="eastAsia" w:ascii="Arial" w:hAnsi="Arial" w:eastAsia="宋体" w:cs="Arial"/>
          <w:kern w:val="0"/>
          <w:sz w:val="20"/>
          <w:szCs w:val="20"/>
        </w:rPr>
        <w:t>In order to avoid the potential error case of misunderstanding of MAC CE signaling, it is better to mandate the scheduling with enabled HARQ process. Thus, it is preferred to support eMTC or NB-IoT MAC CEs that rely on HARQ feedback for activation is scheduled via a HARQ process with HARQ feedback enabled.</w:t>
      </w:r>
    </w:p>
    <w:p>
      <w:pPr>
        <w:spacing w:beforeLines="50" w:afterLines="50"/>
        <w:rPr>
          <w:rFonts w:hint="eastAsia" w:ascii="Arial" w:hAnsi="Arial" w:cs="Arial"/>
          <w:b/>
          <w:sz w:val="20"/>
          <w:szCs w:val="20"/>
        </w:rPr>
      </w:pPr>
      <w:r>
        <w:rPr>
          <w:rFonts w:ascii="Arial" w:hAnsi="Arial" w:cs="Arial"/>
          <w:b/>
          <w:iCs/>
          <w:sz w:val="20"/>
          <w:szCs w:val="20"/>
        </w:rPr>
        <w:t>Proposal 2</w:t>
      </w:r>
      <w:r>
        <w:rPr>
          <w:rFonts w:hint="eastAsia" w:ascii="Arial" w:hAnsi="Arial" w:cs="Arial"/>
          <w:b/>
          <w:iCs/>
          <w:sz w:val="20"/>
          <w:szCs w:val="20"/>
        </w:rPr>
        <w:t>:</w:t>
      </w:r>
      <w:r>
        <w:rPr>
          <w:rFonts w:ascii="Arial" w:hAnsi="Arial" w:cs="Arial"/>
          <w:b/>
          <w:sz w:val="20"/>
          <w:szCs w:val="20"/>
        </w:rPr>
        <w:t xml:space="preserve"> </w:t>
      </w:r>
      <w:r>
        <w:rPr>
          <w:rFonts w:hint="eastAsia" w:ascii="Arial" w:hAnsi="Arial" w:cs="Arial"/>
          <w:b/>
          <w:sz w:val="20"/>
          <w:szCs w:val="20"/>
        </w:rPr>
        <w:t xml:space="preserve">The </w:t>
      </w:r>
      <w:r>
        <w:rPr>
          <w:rFonts w:ascii="Arial" w:hAnsi="Arial" w:cs="Arial"/>
          <w:b/>
          <w:sz w:val="20"/>
          <w:szCs w:val="20"/>
        </w:rPr>
        <w:t>UE expects that MAC-CEs are transmitted using HARQ processes with feedback enabled.</w:t>
      </w:r>
    </w:p>
    <w:p>
      <w:pPr>
        <w:spacing w:beforeLines="50" w:afterLines="50"/>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 xml:space="preserve">For NB-IoT, at most two HARQ processes are supported, and there is one special case that the NB-IoT has only single HARQ process which is different from NR NTN where multiple HARQ processes can be supported. Thus, whether to support disabling HARQ feedback in the case of single HARQ process needs to be discussed. RAN1 also discussed this issue and the common understanding is that </w:t>
      </w:r>
      <w:r>
        <w:rPr>
          <w:rFonts w:hint="eastAsia" w:ascii="Arial" w:hAnsi="Arial" w:cs="Arial"/>
          <w:sz w:val="20"/>
          <w:szCs w:val="20"/>
        </w:rPr>
        <w:t xml:space="preserve">whether to configure the HARQ disabling in </w:t>
      </w:r>
      <w:r>
        <w:rPr>
          <w:rFonts w:hint="eastAsia" w:ascii="Arial" w:hAnsi="Arial" w:cs="Arial"/>
          <w:sz w:val="20"/>
          <w:szCs w:val="20"/>
          <w:lang w:val="en-US" w:eastAsia="zh-CN"/>
        </w:rPr>
        <w:t>each</w:t>
      </w:r>
      <w:r>
        <w:rPr>
          <w:rFonts w:hint="eastAsia" w:ascii="Arial" w:hAnsi="Arial" w:cs="Arial"/>
          <w:sz w:val="20"/>
          <w:szCs w:val="20"/>
        </w:rPr>
        <w:t xml:space="preserve"> case/scenario is up to eNB implementation.</w:t>
      </w:r>
      <w:r>
        <w:rPr>
          <w:rFonts w:hint="eastAsia" w:ascii="Arial" w:hAnsi="Arial" w:cs="Arial"/>
          <w:b w:val="0"/>
          <w:bCs w:val="0"/>
          <w:sz w:val="20"/>
          <w:szCs w:val="20"/>
          <w:lang w:val="en-US" w:eastAsia="zh-CN"/>
        </w:rPr>
        <w:t xml:space="preserve"> In addition, RAN2 agreed that d</w:t>
      </w:r>
      <w:r>
        <w:rPr>
          <w:rFonts w:hint="eastAsia" w:ascii="Arial" w:hAnsi="Arial" w:cs="Arial"/>
          <w:sz w:val="20"/>
          <w:szCs w:val="20"/>
        </w:rPr>
        <w:t>isabling DL HARQ feedback is supported for NB-IoT and eMTC NTN</w:t>
      </w:r>
      <w:r>
        <w:rPr>
          <w:rFonts w:hint="eastAsia" w:ascii="Arial" w:hAnsi="Arial" w:cs="Arial"/>
          <w:sz w:val="20"/>
          <w:szCs w:val="20"/>
          <w:lang w:val="en-US" w:eastAsia="zh-CN"/>
        </w:rPr>
        <w:t xml:space="preserve"> in last meeting. </w:t>
      </w:r>
      <w:r>
        <w:rPr>
          <w:rFonts w:hint="eastAsia" w:ascii="Arial" w:hAnsi="Arial" w:cs="Arial"/>
          <w:b w:val="0"/>
          <w:bCs w:val="0"/>
          <w:sz w:val="20"/>
          <w:szCs w:val="20"/>
          <w:lang w:val="en-US" w:eastAsia="zh-CN"/>
        </w:rPr>
        <w:t>In our understanding, disabling HARQ feedback is supported for NB-IoT with single HARQ process, and it is up to eNB implementation whether to disable the HARQ process.</w:t>
      </w:r>
    </w:p>
    <w:p>
      <w:pPr>
        <w:spacing w:beforeLines="50" w:afterLines="50"/>
        <w:rPr>
          <w:rFonts w:ascii="Arial" w:hAnsi="Arial" w:cs="Arial"/>
          <w:b/>
          <w:bCs/>
          <w:sz w:val="20"/>
          <w:szCs w:val="20"/>
        </w:rPr>
      </w:pPr>
      <w:r>
        <w:rPr>
          <w:rFonts w:hint="eastAsia" w:ascii="Arial" w:hAnsi="Arial" w:cs="Arial"/>
          <w:b/>
          <w:bCs/>
          <w:sz w:val="20"/>
          <w:szCs w:val="20"/>
          <w:lang w:val="en-US" w:eastAsia="zh-CN"/>
        </w:rPr>
        <w:t>Proposal 3: Disabling HARQ feedback is supported for NB-IoT with single HARQ process, and it is up to eNB implementation whether to disable the HARQ process.</w:t>
      </w:r>
    </w:p>
    <w:p>
      <w:pPr>
        <w:widowControl/>
        <w:spacing w:before="240" w:after="180"/>
        <w:outlineLvl w:val="1"/>
        <w:rPr>
          <w:rFonts w:ascii="Arial" w:hAnsi="Arial" w:eastAsia="宋体" w:cs="Arial"/>
          <w:kern w:val="0"/>
          <w:sz w:val="32"/>
          <w:szCs w:val="32"/>
        </w:rPr>
      </w:pPr>
      <w:r>
        <w:rPr>
          <w:rFonts w:ascii="Arial" w:hAnsi="Arial" w:eastAsia="宋体" w:cs="Arial"/>
          <w:kern w:val="0"/>
          <w:sz w:val="32"/>
          <w:szCs w:val="32"/>
        </w:rPr>
        <w:t>2.2 DRX</w:t>
      </w:r>
      <w:r>
        <w:rPr>
          <w:rFonts w:hint="eastAsia" w:ascii="Arial" w:hAnsi="Arial" w:eastAsia="宋体" w:cs="Arial"/>
          <w:kern w:val="0"/>
          <w:sz w:val="32"/>
          <w:szCs w:val="32"/>
        </w:rPr>
        <w:t xml:space="preserve"> impacts</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In Rel-17 NR NTN, RAN2 agreed the following agreements on enabling/disabling DL HARQ feedback.</w:t>
      </w:r>
    </w:p>
    <w:p>
      <w:pPr>
        <w:pStyle w:val="16"/>
        <w:numPr>
          <w:ilvl w:val="0"/>
          <w:numId w:val="4"/>
        </w:numPr>
        <w:spacing w:after="180"/>
        <w:ind w:left="397" w:firstLine="0" w:firstLineChars="0"/>
        <w:rPr>
          <w:rFonts w:ascii="Arial" w:hAnsi="Arial" w:eastAsia="宋体" w:cs="Arial"/>
          <w:kern w:val="0"/>
          <w:sz w:val="20"/>
          <w:szCs w:val="20"/>
        </w:rPr>
      </w:pPr>
      <w:r>
        <w:rPr>
          <w:rFonts w:hint="eastAsia" w:ascii="Arial" w:hAnsi="Arial" w:eastAsia="宋体" w:cs="Arial"/>
          <w:kern w:val="0"/>
          <w:sz w:val="20"/>
          <w:szCs w:val="20"/>
        </w:rPr>
        <w:t>For HARQ process with DL HARQ feedback disabled, the UE will not start drx-HARQ-RTT-TimerDL.</w:t>
      </w:r>
    </w:p>
    <w:p>
      <w:pPr>
        <w:pStyle w:val="16"/>
        <w:numPr>
          <w:ilvl w:val="0"/>
          <w:numId w:val="4"/>
        </w:numPr>
        <w:spacing w:after="180"/>
        <w:ind w:left="397" w:firstLine="0" w:firstLineChars="0"/>
        <w:rPr>
          <w:rFonts w:ascii="Arial" w:hAnsi="Arial" w:eastAsia="宋体" w:cs="Arial"/>
          <w:kern w:val="0"/>
          <w:sz w:val="20"/>
          <w:szCs w:val="20"/>
        </w:rPr>
      </w:pPr>
      <w:r>
        <w:rPr>
          <w:rFonts w:hint="eastAsia" w:ascii="Arial" w:hAnsi="Arial" w:eastAsia="宋体" w:cs="Arial"/>
          <w:kern w:val="0"/>
          <w:sz w:val="20"/>
          <w:szCs w:val="20"/>
        </w:rPr>
        <w:t xml:space="preserve">For HARQ process with DL HARQ feedback enabled, the UE will extend the value of drx-HARQ-RTT-TimerDL by UE-gNB RTT and start the timer. </w:t>
      </w:r>
    </w:p>
    <w:p>
      <w:pPr>
        <w:pStyle w:val="16"/>
        <w:numPr>
          <w:ilvl w:val="0"/>
          <w:numId w:val="4"/>
        </w:numPr>
        <w:spacing w:after="180"/>
        <w:ind w:left="397" w:firstLine="0" w:firstLineChars="0"/>
        <w:rPr>
          <w:rFonts w:ascii="Arial" w:hAnsi="Arial" w:eastAsia="宋体" w:cs="Arial"/>
          <w:kern w:val="0"/>
          <w:sz w:val="20"/>
          <w:szCs w:val="20"/>
        </w:rPr>
      </w:pPr>
      <w:r>
        <w:rPr>
          <w:rFonts w:hint="eastAsia" w:ascii="Arial" w:hAnsi="Arial" w:eastAsia="宋体" w:cs="Arial"/>
          <w:kern w:val="0"/>
          <w:sz w:val="20"/>
          <w:szCs w:val="20"/>
          <w:lang w:val="en-GB" w:eastAsia="en-GB"/>
        </w:rPr>
        <w:t>For HARQ process not configured with DL HARQ feedback enabled/disabled, drx-HARQ-RTT-TimerDL behaves as per legacy</w:t>
      </w:r>
      <w:r>
        <w:rPr>
          <w:rFonts w:hint="eastAsia" w:ascii="Arial" w:hAnsi="Arial" w:eastAsia="宋体" w:cs="Arial"/>
          <w:kern w:val="0"/>
          <w:sz w:val="20"/>
          <w:szCs w:val="20"/>
        </w:rPr>
        <w:t xml:space="preserve">. </w:t>
      </w:r>
    </w:p>
    <w:p>
      <w:pPr>
        <w:pStyle w:val="16"/>
        <w:spacing w:after="180"/>
        <w:ind w:firstLine="0" w:firstLineChars="0"/>
        <w:rPr>
          <w:rFonts w:ascii="Arial" w:hAnsi="Arial" w:eastAsia="宋体" w:cs="Arial"/>
          <w:kern w:val="0"/>
          <w:sz w:val="20"/>
          <w:szCs w:val="20"/>
        </w:rPr>
      </w:pPr>
      <w:r>
        <w:rPr>
          <w:rFonts w:hint="eastAsia" w:ascii="Arial" w:hAnsi="Arial" w:eastAsia="宋体" w:cs="Arial"/>
          <w:kern w:val="0"/>
          <w:sz w:val="20"/>
          <w:szCs w:val="20"/>
        </w:rPr>
        <w:t>In our understanding, the same mechanism can be reused for IoT NTN.</w:t>
      </w:r>
    </w:p>
    <w:p>
      <w:pPr>
        <w:spacing w:beforeLines="50" w:afterLines="50"/>
        <w:rPr>
          <w:rFonts w:ascii="Arial" w:hAnsi="Arial" w:cs="Arial"/>
          <w:b/>
          <w:sz w:val="20"/>
          <w:szCs w:val="20"/>
        </w:rPr>
      </w:pPr>
      <w:r>
        <w:rPr>
          <w:rFonts w:ascii="Arial" w:hAnsi="Arial" w:cs="Arial"/>
          <w:b/>
          <w:iCs/>
          <w:sz w:val="20"/>
          <w:szCs w:val="20"/>
        </w:rPr>
        <w:t xml:space="preserve">Proposal </w:t>
      </w:r>
      <w:r>
        <w:rPr>
          <w:rFonts w:hint="eastAsia" w:ascii="Arial" w:hAnsi="Arial" w:cs="Arial"/>
          <w:b/>
          <w:iCs/>
          <w:sz w:val="20"/>
          <w:szCs w:val="20"/>
          <w:lang w:val="en-US" w:eastAsia="zh-CN"/>
        </w:rPr>
        <w:t>4</w:t>
      </w:r>
      <w:r>
        <w:rPr>
          <w:rFonts w:hint="eastAsia" w:ascii="Arial" w:hAnsi="Arial" w:cs="Arial"/>
          <w:b/>
          <w:iCs/>
          <w:sz w:val="20"/>
          <w:szCs w:val="20"/>
        </w:rPr>
        <w:t>:</w:t>
      </w:r>
      <w:r>
        <w:rPr>
          <w:rFonts w:ascii="Arial" w:hAnsi="Arial" w:cs="Arial"/>
          <w:b/>
          <w:sz w:val="20"/>
          <w:szCs w:val="20"/>
        </w:rPr>
        <w:t xml:space="preserve"> </w:t>
      </w:r>
      <w:r>
        <w:rPr>
          <w:rFonts w:hint="eastAsia" w:ascii="Arial" w:hAnsi="Arial" w:cs="Arial"/>
          <w:b/>
          <w:sz w:val="20"/>
          <w:szCs w:val="20"/>
        </w:rPr>
        <w:t xml:space="preserve">For HARQ process with DL HARQ feedback disabled, the UE will not start the corresponding DL HARQ RTT timer, similarly to NR NTN. </w:t>
      </w:r>
    </w:p>
    <w:p>
      <w:pPr>
        <w:widowControl/>
        <w:spacing w:after="180"/>
        <w:rPr>
          <w:rFonts w:ascii="Arial" w:hAnsi="Arial" w:eastAsia="宋体" w:cs="Arial"/>
          <w:kern w:val="0"/>
          <w:sz w:val="20"/>
          <w:szCs w:val="20"/>
        </w:rPr>
      </w:pPr>
      <w:r>
        <w:rPr>
          <w:rFonts w:hint="eastAsia" w:ascii="Arial" w:hAnsi="Arial" w:eastAsia="宋体" w:cs="Arial"/>
          <w:kern w:val="0"/>
          <w:sz w:val="20"/>
          <w:szCs w:val="20"/>
        </w:rPr>
        <w:t xml:space="preserve">For UL HARQ operation, RAN2 agreed to introduce </w:t>
      </w:r>
      <w:r>
        <w:rPr>
          <w:rFonts w:ascii="Arial" w:hAnsi="Arial" w:cs="Arial"/>
          <w:sz w:val="20"/>
        </w:rPr>
        <w:t>HARQ mode A and HARQ mode B in IoT NTN similarly to NR NTN</w:t>
      </w:r>
      <w:r>
        <w:rPr>
          <w:rFonts w:hint="eastAsia" w:ascii="Arial" w:hAnsi="Arial" w:cs="Arial"/>
          <w:sz w:val="20"/>
        </w:rPr>
        <w:t>. The following agreements are achieved in</w:t>
      </w:r>
      <w:r>
        <w:rPr>
          <w:rFonts w:ascii="Arial" w:hAnsi="Arial" w:eastAsia="宋体" w:cs="Arial"/>
          <w:kern w:val="0"/>
          <w:sz w:val="20"/>
          <w:szCs w:val="20"/>
        </w:rPr>
        <w:t xml:space="preserve"> Rel-17 NR NTN</w:t>
      </w:r>
      <w:r>
        <w:rPr>
          <w:rFonts w:hint="eastAsia" w:ascii="Arial" w:hAnsi="Arial" w:eastAsia="宋体" w:cs="Arial"/>
          <w:kern w:val="0"/>
          <w:sz w:val="20"/>
          <w:szCs w:val="20"/>
        </w:rPr>
        <w:t>:</w:t>
      </w:r>
    </w:p>
    <w:p>
      <w:pPr>
        <w:pStyle w:val="16"/>
        <w:numPr>
          <w:ilvl w:val="0"/>
          <w:numId w:val="4"/>
        </w:numPr>
        <w:spacing w:after="180"/>
        <w:ind w:left="397" w:firstLine="0" w:firstLineChars="0"/>
        <w:rPr>
          <w:rFonts w:ascii="Arial" w:hAnsi="Arial" w:eastAsia="宋体" w:cs="Arial"/>
          <w:kern w:val="0"/>
          <w:sz w:val="20"/>
          <w:szCs w:val="20"/>
        </w:rPr>
      </w:pPr>
      <w:r>
        <w:rPr>
          <w:rFonts w:hint="eastAsia" w:ascii="Arial" w:hAnsi="Arial" w:eastAsia="宋体" w:cs="Arial"/>
          <w:kern w:val="0"/>
          <w:sz w:val="20"/>
          <w:szCs w:val="20"/>
        </w:rPr>
        <w:t>For HARQ mode A, the UE will extend the length of drx-HARQ-RTT-TimerUL by UE-gNB RTT.</w:t>
      </w:r>
    </w:p>
    <w:p>
      <w:pPr>
        <w:pStyle w:val="16"/>
        <w:numPr>
          <w:ilvl w:val="0"/>
          <w:numId w:val="4"/>
        </w:numPr>
        <w:spacing w:after="180"/>
        <w:ind w:left="397" w:firstLine="0" w:firstLineChars="0"/>
        <w:rPr>
          <w:rFonts w:ascii="Arial" w:hAnsi="Arial" w:eastAsia="宋体" w:cs="Arial"/>
          <w:kern w:val="0"/>
          <w:sz w:val="20"/>
          <w:szCs w:val="20"/>
        </w:rPr>
      </w:pPr>
      <w:r>
        <w:rPr>
          <w:rFonts w:hint="eastAsia" w:ascii="Arial" w:hAnsi="Arial" w:eastAsia="宋体" w:cs="Arial"/>
          <w:kern w:val="0"/>
          <w:sz w:val="20"/>
          <w:szCs w:val="20"/>
        </w:rPr>
        <w:t xml:space="preserve">For HARQ mode B, the UE will not start drx-HARQ-RTT-TimerUL. </w:t>
      </w:r>
    </w:p>
    <w:p>
      <w:pPr>
        <w:pStyle w:val="16"/>
        <w:numPr>
          <w:ilvl w:val="0"/>
          <w:numId w:val="4"/>
        </w:numPr>
        <w:spacing w:after="180"/>
        <w:ind w:left="397" w:firstLine="0" w:firstLineChars="0"/>
        <w:rPr>
          <w:rFonts w:ascii="Arial" w:hAnsi="Arial" w:eastAsia="宋体" w:cs="Arial"/>
          <w:kern w:val="0"/>
          <w:sz w:val="20"/>
          <w:szCs w:val="20"/>
        </w:rPr>
      </w:pPr>
      <w:r>
        <w:rPr>
          <w:rFonts w:hint="eastAsia" w:ascii="Arial" w:hAnsi="Arial" w:eastAsia="宋体" w:cs="Arial"/>
          <w:kern w:val="0"/>
          <w:sz w:val="20"/>
          <w:szCs w:val="20"/>
        </w:rPr>
        <w:t>Configuration of UL HARQ re-transmission mode is semi-static, signalled via RRC, and the decision and criteria to configure UL HARQ re-transmission mode is under network control.</w:t>
      </w:r>
    </w:p>
    <w:p>
      <w:pPr>
        <w:spacing w:beforeLines="50" w:afterLines="50"/>
        <w:rPr>
          <w:rFonts w:ascii="Arial" w:hAnsi="Arial" w:cs="Arial"/>
          <w:b/>
          <w:sz w:val="20"/>
          <w:szCs w:val="20"/>
        </w:rPr>
      </w:pPr>
      <w:r>
        <w:rPr>
          <w:rFonts w:hint="eastAsia" w:ascii="Arial" w:hAnsi="Arial" w:eastAsia="宋体" w:cs="Arial"/>
          <w:kern w:val="0"/>
          <w:sz w:val="20"/>
          <w:szCs w:val="20"/>
        </w:rPr>
        <w:t>Similar to DL transmission, IoT NTN can also follow the mechanism applied to NR NTN.</w:t>
      </w:r>
      <w:r>
        <w:rPr>
          <w:rFonts w:hint="eastAsia" w:ascii="Arial" w:hAnsi="Arial" w:cs="Arial"/>
          <w:b/>
          <w:sz w:val="20"/>
          <w:szCs w:val="20"/>
        </w:rPr>
        <w:t xml:space="preserve"> </w:t>
      </w:r>
    </w:p>
    <w:p>
      <w:pPr>
        <w:spacing w:beforeLines="50" w:afterLines="50"/>
        <w:rPr>
          <w:rFonts w:ascii="Arial" w:hAnsi="Arial" w:cs="Arial"/>
          <w:b/>
          <w:sz w:val="20"/>
          <w:szCs w:val="20"/>
        </w:rPr>
      </w:pPr>
      <w:r>
        <w:rPr>
          <w:rFonts w:ascii="Arial" w:hAnsi="Arial" w:cs="Arial"/>
          <w:b/>
          <w:iCs/>
          <w:sz w:val="20"/>
          <w:szCs w:val="20"/>
        </w:rPr>
        <w:t xml:space="preserve">Proposal </w:t>
      </w:r>
      <w:r>
        <w:rPr>
          <w:rFonts w:hint="eastAsia" w:ascii="Arial" w:hAnsi="Arial" w:cs="Arial"/>
          <w:b/>
          <w:iCs/>
          <w:sz w:val="20"/>
          <w:szCs w:val="20"/>
          <w:lang w:val="en-US" w:eastAsia="zh-CN"/>
        </w:rPr>
        <w:t>5</w:t>
      </w:r>
      <w:r>
        <w:rPr>
          <w:rFonts w:hint="eastAsia" w:ascii="Arial" w:hAnsi="Arial" w:cs="Arial"/>
          <w:b/>
          <w:iCs/>
          <w:sz w:val="20"/>
          <w:szCs w:val="20"/>
        </w:rPr>
        <w:t>:</w:t>
      </w:r>
      <w:r>
        <w:rPr>
          <w:rFonts w:ascii="Arial" w:hAnsi="Arial" w:cs="Arial"/>
          <w:b/>
          <w:sz w:val="20"/>
          <w:szCs w:val="20"/>
        </w:rPr>
        <w:t xml:space="preserve"> </w:t>
      </w:r>
      <w:r>
        <w:rPr>
          <w:rFonts w:hint="eastAsia" w:ascii="Arial" w:hAnsi="Arial" w:cs="Arial"/>
          <w:b/>
          <w:sz w:val="20"/>
          <w:szCs w:val="20"/>
        </w:rPr>
        <w:t xml:space="preserve">For HARQ process with UL HARQ re-transmission disabled, the UE will not start the corresponding UL HARQ RTT timer, similarly to NR NTN. </w:t>
      </w:r>
    </w:p>
    <w:p>
      <w:pPr>
        <w:widowControl/>
        <w:spacing w:before="240" w:after="180"/>
        <w:outlineLvl w:val="1"/>
        <w:rPr>
          <w:rFonts w:ascii="Arial" w:hAnsi="Arial" w:eastAsia="宋体" w:cs="Arial"/>
          <w:kern w:val="0"/>
          <w:sz w:val="32"/>
          <w:szCs w:val="32"/>
        </w:rPr>
      </w:pPr>
      <w:r>
        <w:rPr>
          <w:rFonts w:ascii="Arial" w:hAnsi="Arial" w:eastAsia="宋体" w:cs="Arial"/>
          <w:kern w:val="0"/>
          <w:sz w:val="32"/>
          <w:szCs w:val="32"/>
        </w:rPr>
        <w:t>2.3 Blind</w:t>
      </w:r>
      <w:r>
        <w:rPr>
          <w:rFonts w:hint="eastAsia" w:ascii="Arial" w:hAnsi="Arial" w:eastAsia="宋体" w:cs="Arial"/>
          <w:kern w:val="0"/>
          <w:sz w:val="32"/>
          <w:szCs w:val="32"/>
        </w:rPr>
        <w:t xml:space="preserve"> retransmission</w:t>
      </w:r>
    </w:p>
    <w:p>
      <w:pPr>
        <w:widowControl/>
        <w:spacing w:beforeLines="50" w:after="180"/>
        <w:rPr>
          <w:rFonts w:ascii="Arial" w:hAnsi="Arial" w:eastAsia="宋体" w:cs="Arial"/>
          <w:kern w:val="0"/>
          <w:sz w:val="20"/>
          <w:szCs w:val="20"/>
        </w:rPr>
      </w:pPr>
      <w:r>
        <w:rPr>
          <w:rFonts w:hint="eastAsia" w:ascii="Arial" w:hAnsi="Arial" w:eastAsia="宋体" w:cs="Arial"/>
          <w:kern w:val="0"/>
          <w:sz w:val="20"/>
          <w:szCs w:val="20"/>
        </w:rPr>
        <w:t>When the HARQ progress is configured with disabled HARQ feedback, NR NTN supports blind retransmission (i.e., NW schedule retransmission without waiting for HARQ feedback) to guarantee a low Block Error Rate(BLER). And how to schedule UE in different scenarios is up to network implementation. The similar mechanism can also be supported in IoT NTN.</w:t>
      </w:r>
    </w:p>
    <w:p>
      <w:pPr>
        <w:widowControl/>
        <w:spacing w:after="180"/>
        <w:rPr>
          <w:rFonts w:ascii="Arial" w:hAnsi="Arial" w:eastAsia="宋体" w:cs="Arial"/>
          <w:b/>
          <w:bCs/>
          <w:kern w:val="0"/>
          <w:sz w:val="20"/>
          <w:szCs w:val="20"/>
        </w:rPr>
      </w:pPr>
      <w:r>
        <w:rPr>
          <w:rFonts w:hint="eastAsia" w:ascii="Arial" w:hAnsi="Arial" w:eastAsia="宋体" w:cs="Arial"/>
          <w:b/>
          <w:bCs/>
          <w:kern w:val="0"/>
          <w:sz w:val="20"/>
          <w:szCs w:val="20"/>
        </w:rPr>
        <w:t xml:space="preserve">Proposal </w:t>
      </w:r>
      <w:r>
        <w:rPr>
          <w:rFonts w:hint="eastAsia" w:ascii="Arial" w:hAnsi="Arial" w:eastAsia="宋体" w:cs="Arial"/>
          <w:b/>
          <w:bCs/>
          <w:kern w:val="0"/>
          <w:sz w:val="20"/>
          <w:szCs w:val="20"/>
          <w:lang w:val="en-US" w:eastAsia="zh-CN"/>
        </w:rPr>
        <w:t>6</w:t>
      </w:r>
      <w:r>
        <w:rPr>
          <w:rFonts w:hint="eastAsia" w:ascii="Arial" w:hAnsi="Arial" w:eastAsia="宋体" w:cs="Arial"/>
          <w:b/>
          <w:bCs/>
          <w:kern w:val="0"/>
          <w:sz w:val="20"/>
          <w:szCs w:val="20"/>
        </w:rPr>
        <w:t>: Blind retransmission is supported for HARQ feedback disabling in IoT NTN.</w:t>
      </w:r>
    </w:p>
    <w:p>
      <w:pPr>
        <w:widowControl/>
        <w:spacing w:after="180"/>
        <w:rPr>
          <w:rFonts w:ascii="Arial" w:hAnsi="Arial" w:eastAsia="宋体" w:cs="Arial"/>
          <w:b/>
          <w:bCs/>
          <w:kern w:val="0"/>
          <w:sz w:val="20"/>
          <w:szCs w:val="20"/>
          <w:lang w:val="en-GB"/>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rPr>
        <w:t xml:space="preserve">HARQ </w:t>
      </w:r>
      <w:r>
        <w:rPr>
          <w:rFonts w:ascii="Arial" w:hAnsi="Arial" w:eastAsia="宋体" w:cs="Arial"/>
          <w:kern w:val="0"/>
          <w:sz w:val="20"/>
          <w:szCs w:val="20"/>
          <w:lang w:val="en-GB" w:eastAsia="en-US"/>
        </w:rPr>
        <w:t>enhancement</w:t>
      </w:r>
      <w:r>
        <w:rPr>
          <w:rFonts w:hint="eastAsia" w:ascii="Arial" w:hAnsi="Arial" w:eastAsia="宋体" w:cs="Arial"/>
          <w:kern w:val="0"/>
          <w:sz w:val="20"/>
          <w:szCs w:val="20"/>
        </w:rPr>
        <w:t>s for IoT-NTN</w:t>
      </w:r>
      <w:r>
        <w:rPr>
          <w:rFonts w:ascii="Arial" w:hAnsi="Arial" w:eastAsia="宋体" w:cs="Arial"/>
          <w:kern w:val="0"/>
          <w:sz w:val="20"/>
          <w:szCs w:val="20"/>
          <w:lang w:val="en-GB" w:eastAsia="en-US"/>
        </w:rPr>
        <w:t>.</w:t>
      </w:r>
    </w:p>
    <w:p>
      <w:pPr>
        <w:widowControl/>
        <w:spacing w:beforeLines="50" w:after="180"/>
        <w:rPr>
          <w:rFonts w:hint="eastAsia" w:ascii="Arial" w:hAnsi="Arial" w:cs="Arial"/>
          <w:b/>
          <w:bCs/>
          <w:sz w:val="20"/>
        </w:rPr>
      </w:pPr>
      <w:r>
        <w:rPr>
          <w:rFonts w:hint="eastAsia" w:ascii="Arial" w:hAnsi="Arial" w:cs="Arial"/>
          <w:b/>
          <w:bCs/>
          <w:sz w:val="20"/>
        </w:rPr>
        <w:t>Observation 1: Whether the configuration of enabling/disabling on DL HARQ feedback can be dynamically indicated via DCI is up to RAN1 discussion.</w:t>
      </w:r>
    </w:p>
    <w:p>
      <w:pPr>
        <w:widowControl/>
        <w:spacing w:after="180"/>
        <w:rPr>
          <w:rFonts w:hint="eastAsia" w:ascii="Arial" w:hAnsi="Arial" w:cs="Arial" w:eastAsiaTheme="minorEastAsia"/>
          <w:b/>
          <w:bCs/>
          <w:sz w:val="20"/>
          <w:lang w:val="en-US" w:eastAsia="zh-CN"/>
        </w:rPr>
      </w:pPr>
      <w:r>
        <w:rPr>
          <w:rFonts w:hint="eastAsia" w:ascii="Arial" w:hAnsi="Arial" w:cs="Arial"/>
          <w:b/>
          <w:bCs/>
          <w:sz w:val="20"/>
        </w:rPr>
        <w:t>Observation</w:t>
      </w:r>
      <w:r>
        <w:rPr>
          <w:rFonts w:hint="eastAsia" w:ascii="Arial" w:hAnsi="Arial" w:cs="Arial"/>
          <w:b/>
          <w:bCs/>
          <w:sz w:val="20"/>
          <w:lang w:val="en-US" w:eastAsia="zh-CN"/>
        </w:rPr>
        <w:t xml:space="preserve"> 2</w:t>
      </w:r>
      <w:r>
        <w:rPr>
          <w:rFonts w:hint="eastAsia" w:ascii="Arial" w:hAnsi="Arial" w:cs="Arial"/>
          <w:b/>
          <w:bCs/>
          <w:sz w:val="20"/>
        </w:rPr>
        <w:t>: NB-IoT CP solutions do not use RRCReconfiguration message</w:t>
      </w:r>
      <w:r>
        <w:rPr>
          <w:rFonts w:hint="eastAsia" w:ascii="Arial" w:hAnsi="Arial" w:cs="Arial"/>
          <w:b/>
          <w:bCs/>
          <w:sz w:val="20"/>
          <w:lang w:val="en-US" w:eastAsia="zh-CN"/>
        </w:rPr>
        <w:t xml:space="preserve">, and </w:t>
      </w:r>
      <w:r>
        <w:rPr>
          <w:rFonts w:hint="eastAsia" w:ascii="Arial" w:hAnsi="Arial" w:cs="Arial"/>
          <w:b/>
          <w:bCs/>
          <w:sz w:val="20"/>
        </w:rPr>
        <w:t xml:space="preserve">there is no any security risk and privacy </w:t>
      </w:r>
      <w:r>
        <w:rPr>
          <w:rFonts w:hint="eastAsia" w:ascii="Arial" w:hAnsi="Arial" w:cs="Arial"/>
          <w:b/>
          <w:bCs/>
          <w:sz w:val="20"/>
          <w:lang w:val="en-US" w:eastAsia="zh-CN"/>
        </w:rPr>
        <w:t xml:space="preserve">issue </w:t>
      </w:r>
      <w:r>
        <w:rPr>
          <w:rFonts w:hint="eastAsia" w:ascii="Arial" w:hAnsi="Arial" w:cs="Arial"/>
          <w:b/>
          <w:bCs/>
          <w:sz w:val="20"/>
        </w:rPr>
        <w:t>of leaking HARQ relevant information</w:t>
      </w:r>
      <w:r>
        <w:rPr>
          <w:rFonts w:hint="eastAsia" w:ascii="Arial" w:hAnsi="Arial" w:cs="Arial"/>
          <w:b/>
          <w:bCs/>
          <w:sz w:val="20"/>
          <w:lang w:val="en-US" w:eastAsia="zh-CN"/>
        </w:rPr>
        <w:t>.</w:t>
      </w:r>
    </w:p>
    <w:p>
      <w:pPr>
        <w:widowControl/>
        <w:spacing w:after="180"/>
        <w:rPr>
          <w:rFonts w:ascii="Arial" w:hAnsi="Arial" w:cs="Arial"/>
          <w:b/>
          <w:bCs/>
          <w:sz w:val="20"/>
        </w:rPr>
      </w:pPr>
      <w:r>
        <w:rPr>
          <w:rFonts w:hint="eastAsia" w:ascii="Arial" w:hAnsi="Arial" w:cs="Arial"/>
          <w:b/>
          <w:bCs/>
          <w:sz w:val="20"/>
        </w:rPr>
        <w:t xml:space="preserve">Proposal 1: For NB-IoT, </w:t>
      </w:r>
      <w:r>
        <w:rPr>
          <w:rFonts w:ascii="Arial" w:hAnsi="Arial" w:cs="Arial"/>
          <w:b/>
          <w:bCs/>
          <w:sz w:val="20"/>
        </w:rPr>
        <w:t xml:space="preserve">enabling/disabling HARQ feedback can be configured per DL HARQ process at least via UE specific RRC </w:t>
      </w:r>
      <w:r>
        <w:rPr>
          <w:rFonts w:hint="eastAsia" w:ascii="Arial" w:hAnsi="Arial" w:cs="Arial"/>
          <w:b/>
          <w:bCs/>
          <w:sz w:val="20"/>
        </w:rPr>
        <w:t xml:space="preserve">signaling (e.g. </w:t>
      </w:r>
      <w:r>
        <w:rPr>
          <w:rFonts w:hint="eastAsia" w:ascii="Arial" w:hAnsi="Arial" w:cs="Arial"/>
          <w:b/>
          <w:bCs/>
          <w:sz w:val="20"/>
          <w:highlight w:val="none"/>
          <w:lang w:eastAsia="zh-CN"/>
        </w:rPr>
        <w:t>R</w:t>
      </w:r>
      <w:r>
        <w:rPr>
          <w:rFonts w:hint="eastAsia" w:ascii="Arial" w:hAnsi="Arial" w:cs="Arial"/>
          <w:b/>
          <w:bCs/>
          <w:sz w:val="20"/>
          <w:highlight w:val="none"/>
          <w:lang w:val="en-US" w:eastAsia="zh-CN"/>
        </w:rPr>
        <w:t>RCConnectionSetup</w:t>
      </w:r>
      <w:r>
        <w:rPr>
          <w:rFonts w:hint="eastAsia" w:ascii="Arial" w:hAnsi="Arial" w:cs="Arial"/>
          <w:b/>
          <w:bCs/>
          <w:sz w:val="20"/>
        </w:rPr>
        <w:t xml:space="preserve">). </w:t>
      </w:r>
    </w:p>
    <w:p>
      <w:pPr>
        <w:spacing w:beforeLines="50" w:afterLines="50"/>
        <w:rPr>
          <w:rFonts w:ascii="Arial" w:hAnsi="Arial" w:cs="Arial"/>
          <w:b/>
          <w:sz w:val="20"/>
          <w:szCs w:val="20"/>
        </w:rPr>
      </w:pPr>
      <w:r>
        <w:rPr>
          <w:rFonts w:ascii="Arial" w:hAnsi="Arial" w:cs="Arial"/>
          <w:b/>
          <w:iCs/>
          <w:sz w:val="20"/>
          <w:szCs w:val="20"/>
        </w:rPr>
        <w:t>Proposal 2</w:t>
      </w:r>
      <w:r>
        <w:rPr>
          <w:rFonts w:hint="eastAsia" w:ascii="Arial" w:hAnsi="Arial" w:cs="Arial"/>
          <w:b/>
          <w:iCs/>
          <w:sz w:val="20"/>
          <w:szCs w:val="20"/>
        </w:rPr>
        <w:t>:</w:t>
      </w:r>
      <w:r>
        <w:rPr>
          <w:rFonts w:ascii="Arial" w:hAnsi="Arial" w:cs="Arial"/>
          <w:b/>
          <w:sz w:val="20"/>
          <w:szCs w:val="20"/>
        </w:rPr>
        <w:t xml:space="preserve"> </w:t>
      </w:r>
      <w:r>
        <w:rPr>
          <w:rFonts w:hint="eastAsia" w:ascii="Arial" w:hAnsi="Arial" w:cs="Arial"/>
          <w:b/>
          <w:sz w:val="20"/>
          <w:szCs w:val="20"/>
        </w:rPr>
        <w:t xml:space="preserve">The </w:t>
      </w:r>
      <w:r>
        <w:rPr>
          <w:rFonts w:ascii="Arial" w:hAnsi="Arial" w:cs="Arial"/>
          <w:b/>
          <w:sz w:val="20"/>
          <w:szCs w:val="20"/>
        </w:rPr>
        <w:t>UE expects that MAC-CEs are transmitted using HARQ processes with feedback enabled.</w:t>
      </w:r>
    </w:p>
    <w:p>
      <w:pPr>
        <w:spacing w:beforeLines="50" w:afterLines="50"/>
        <w:rPr>
          <w:rFonts w:ascii="Arial" w:hAnsi="Arial" w:cs="Arial"/>
          <w:b/>
          <w:bCs/>
          <w:sz w:val="20"/>
          <w:szCs w:val="20"/>
        </w:rPr>
      </w:pPr>
      <w:r>
        <w:rPr>
          <w:rFonts w:hint="eastAsia" w:ascii="Arial" w:hAnsi="Arial" w:cs="Arial"/>
          <w:b/>
          <w:bCs/>
          <w:sz w:val="20"/>
          <w:szCs w:val="20"/>
          <w:lang w:val="en-US" w:eastAsia="zh-CN"/>
        </w:rPr>
        <w:t>Proposal 3: Disabling HARQ feedback is supported for NB-IoT with single HARQ process, and it is up to eNB implementation whether to disable the</w:t>
      </w:r>
      <w:bookmarkStart w:id="0" w:name="_GoBack"/>
      <w:bookmarkEnd w:id="0"/>
      <w:r>
        <w:rPr>
          <w:rFonts w:hint="eastAsia" w:ascii="Arial" w:hAnsi="Arial" w:cs="Arial"/>
          <w:b/>
          <w:bCs/>
          <w:sz w:val="20"/>
          <w:szCs w:val="20"/>
          <w:lang w:val="en-US" w:eastAsia="zh-CN"/>
        </w:rPr>
        <w:t xml:space="preserve"> HARQ process.</w:t>
      </w:r>
    </w:p>
    <w:p>
      <w:pPr>
        <w:spacing w:beforeLines="50" w:afterLines="50"/>
        <w:rPr>
          <w:rFonts w:ascii="Arial" w:hAnsi="Arial" w:cs="Arial"/>
          <w:b/>
          <w:sz w:val="20"/>
          <w:szCs w:val="20"/>
        </w:rPr>
      </w:pPr>
      <w:r>
        <w:rPr>
          <w:rFonts w:ascii="Arial" w:hAnsi="Arial" w:cs="Arial"/>
          <w:b/>
          <w:iCs/>
          <w:sz w:val="20"/>
          <w:szCs w:val="20"/>
        </w:rPr>
        <w:t xml:space="preserve">Proposal </w:t>
      </w:r>
      <w:r>
        <w:rPr>
          <w:rFonts w:hint="eastAsia" w:ascii="Arial" w:hAnsi="Arial" w:cs="Arial"/>
          <w:b/>
          <w:iCs/>
          <w:sz w:val="20"/>
          <w:szCs w:val="20"/>
          <w:lang w:val="en-US" w:eastAsia="zh-CN"/>
        </w:rPr>
        <w:t>4</w:t>
      </w:r>
      <w:r>
        <w:rPr>
          <w:rFonts w:hint="eastAsia" w:ascii="Arial" w:hAnsi="Arial" w:cs="Arial"/>
          <w:b/>
          <w:iCs/>
          <w:sz w:val="20"/>
          <w:szCs w:val="20"/>
        </w:rPr>
        <w:t>:</w:t>
      </w:r>
      <w:r>
        <w:rPr>
          <w:rFonts w:ascii="Arial" w:hAnsi="Arial" w:cs="Arial"/>
          <w:b/>
          <w:sz w:val="20"/>
          <w:szCs w:val="20"/>
        </w:rPr>
        <w:t xml:space="preserve"> </w:t>
      </w:r>
      <w:r>
        <w:rPr>
          <w:rFonts w:hint="eastAsia" w:ascii="Arial" w:hAnsi="Arial" w:cs="Arial"/>
          <w:b/>
          <w:sz w:val="20"/>
          <w:szCs w:val="20"/>
        </w:rPr>
        <w:t xml:space="preserve">For HARQ process with DL HARQ feedback disabled, the UE will not start the corresponding DL HARQ RTT timer, similarly to NR NTN. </w:t>
      </w:r>
    </w:p>
    <w:p>
      <w:pPr>
        <w:spacing w:beforeLines="50" w:afterLines="50"/>
        <w:rPr>
          <w:rFonts w:ascii="Arial" w:hAnsi="Arial" w:cs="Arial"/>
          <w:b/>
          <w:sz w:val="20"/>
          <w:szCs w:val="20"/>
        </w:rPr>
      </w:pPr>
      <w:r>
        <w:rPr>
          <w:rFonts w:ascii="Arial" w:hAnsi="Arial" w:cs="Arial"/>
          <w:b/>
          <w:iCs/>
          <w:sz w:val="20"/>
          <w:szCs w:val="20"/>
        </w:rPr>
        <w:t xml:space="preserve">Proposal </w:t>
      </w:r>
      <w:r>
        <w:rPr>
          <w:rFonts w:hint="eastAsia" w:ascii="Arial" w:hAnsi="Arial" w:cs="Arial"/>
          <w:b/>
          <w:iCs/>
          <w:sz w:val="20"/>
          <w:szCs w:val="20"/>
          <w:lang w:val="en-US" w:eastAsia="zh-CN"/>
        </w:rPr>
        <w:t>5</w:t>
      </w:r>
      <w:r>
        <w:rPr>
          <w:rFonts w:hint="eastAsia" w:ascii="Arial" w:hAnsi="Arial" w:cs="Arial"/>
          <w:b/>
          <w:iCs/>
          <w:sz w:val="20"/>
          <w:szCs w:val="20"/>
        </w:rPr>
        <w:t>:</w:t>
      </w:r>
      <w:r>
        <w:rPr>
          <w:rFonts w:ascii="Arial" w:hAnsi="Arial" w:cs="Arial"/>
          <w:b/>
          <w:sz w:val="20"/>
          <w:szCs w:val="20"/>
        </w:rPr>
        <w:t xml:space="preserve"> </w:t>
      </w:r>
      <w:r>
        <w:rPr>
          <w:rFonts w:hint="eastAsia" w:ascii="Arial" w:hAnsi="Arial" w:cs="Arial"/>
          <w:b/>
          <w:sz w:val="20"/>
          <w:szCs w:val="20"/>
        </w:rPr>
        <w:t xml:space="preserve">For HARQ process with UL HARQ re-transmission disabled, the UE will not start the corresponding UL HARQ RTT timer, similarly to NR NTN. </w:t>
      </w:r>
    </w:p>
    <w:p>
      <w:pPr>
        <w:widowControl/>
        <w:spacing w:after="180"/>
        <w:rPr>
          <w:lang w:val="en-GB"/>
        </w:rPr>
      </w:pPr>
      <w:r>
        <w:rPr>
          <w:rFonts w:hint="eastAsia" w:ascii="Arial" w:hAnsi="Arial" w:eastAsia="宋体" w:cs="Arial"/>
          <w:b/>
          <w:bCs/>
          <w:kern w:val="0"/>
          <w:sz w:val="20"/>
          <w:szCs w:val="20"/>
        </w:rPr>
        <w:t xml:space="preserve">Proposal </w:t>
      </w:r>
      <w:r>
        <w:rPr>
          <w:rFonts w:hint="eastAsia" w:ascii="Arial" w:hAnsi="Arial" w:eastAsia="宋体" w:cs="Arial"/>
          <w:b/>
          <w:bCs/>
          <w:kern w:val="0"/>
          <w:sz w:val="20"/>
          <w:szCs w:val="20"/>
          <w:lang w:val="en-US" w:eastAsia="zh-CN"/>
        </w:rPr>
        <w:t>6</w:t>
      </w:r>
      <w:r>
        <w:rPr>
          <w:rFonts w:hint="eastAsia" w:ascii="Arial" w:hAnsi="Arial" w:eastAsia="宋体" w:cs="Arial"/>
          <w:b/>
          <w:bCs/>
          <w:kern w:val="0"/>
          <w:sz w:val="20"/>
          <w:szCs w:val="20"/>
        </w:rPr>
        <w:t>: Blind retransmission is supported for HARQ feedback disabling in IoT NTN.</w:t>
      </w:r>
    </w:p>
    <w:p>
      <w:pPr>
        <w:widowControl/>
        <w:spacing w:beforeLines="50" w:after="180"/>
        <w:rPr>
          <w:rFonts w:ascii="Arial" w:hAnsi="Arial" w:cs="Arial"/>
          <w:b/>
          <w:bCs/>
          <w:sz w:val="20"/>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RP-22</w:t>
      </w:r>
      <w:r>
        <w:rPr>
          <w:rFonts w:hint="eastAsia" w:ascii="Arial" w:hAnsi="Arial" w:eastAsia="宋体" w:cs="Arial"/>
          <w:kern w:val="0"/>
          <w:sz w:val="20"/>
          <w:szCs w:val="20"/>
        </w:rPr>
        <w:t>XXXX</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Report of 3GPP TSG RAN WG2 meeting #119-e, Online</w:t>
      </w:r>
      <w:r>
        <w:rPr>
          <w:rFonts w:hint="eastAsia" w:ascii="Arial" w:hAnsi="Arial" w:eastAsia="宋体" w:cs="Arial"/>
          <w:kern w:val="0"/>
          <w:sz w:val="20"/>
          <w:szCs w:val="20"/>
        </w:rPr>
        <w:t>, 17 - 26 August, 2022</w:t>
      </w:r>
    </w:p>
    <w:p>
      <w:pPr>
        <w:rPr>
          <w:lang w:val="en-GB"/>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22AFA"/>
    <w:multiLevelType w:val="multilevel"/>
    <w:tmpl w:val="2DC22AFA"/>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2DCAA566"/>
    <w:multiLevelType w:val="singleLevel"/>
    <w:tmpl w:val="2DCAA566"/>
    <w:lvl w:ilvl="0" w:tentative="0">
      <w:start w:val="2"/>
      <w:numFmt w:val="decimal"/>
      <w:lvlText w:val="%1"/>
      <w:lvlJc w:val="left"/>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39DB58F3"/>
    <w:multiLevelType w:val="multilevel"/>
    <w:tmpl w:val="39DB58F3"/>
    <w:lvl w:ilvl="0" w:tentative="0">
      <w:start w:val="6"/>
      <w:numFmt w:val="bullet"/>
      <w:lvlText w:val=""/>
      <w:lvlJc w:val="left"/>
      <w:pPr>
        <w:ind w:left="1619" w:hanging="360"/>
      </w:pPr>
      <w:rPr>
        <w:rFonts w:hint="default" w:ascii="Wingdings" w:hAnsi="Wingdings" w:eastAsia="MS Mincho" w:cs="Times New Roman"/>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4">
    <w:nsid w:val="3C666866"/>
    <w:multiLevelType w:val="multilevel"/>
    <w:tmpl w:val="3C666866"/>
    <w:lvl w:ilvl="0" w:tentative="0">
      <w:start w:val="1"/>
      <w:numFmt w:val="bullet"/>
      <w:lvlText w:val=""/>
      <w:lvlJc w:val="left"/>
      <w:pPr>
        <w:tabs>
          <w:tab w:val="left" w:pos="420"/>
        </w:tabs>
        <w:ind w:left="840" w:hanging="420"/>
      </w:pPr>
      <w:rPr>
        <w:rFonts w:hint="default" w:ascii="Symbol" w:hAnsi="Symbol"/>
      </w:rPr>
    </w:lvl>
    <w:lvl w:ilvl="1" w:tentative="0">
      <w:start w:val="1"/>
      <w:numFmt w:val="bullet"/>
      <w:lvlText w:val=""/>
      <w:lvlJc w:val="left"/>
      <w:pPr>
        <w:tabs>
          <w:tab w:val="left" w:pos="420"/>
        </w:tabs>
        <w:ind w:left="1260" w:hanging="420"/>
      </w:pPr>
      <w:rPr>
        <w:rFonts w:hint="default" w:ascii="Symbol" w:hAnsi="Symbol"/>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5147A"/>
    <w:rsid w:val="00196A53"/>
    <w:rsid w:val="001B2D58"/>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A6751"/>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31C2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38A1F16"/>
    <w:rsid w:val="04A37BF0"/>
    <w:rsid w:val="094470AB"/>
    <w:rsid w:val="0A1469F1"/>
    <w:rsid w:val="0A173D8A"/>
    <w:rsid w:val="0CC05689"/>
    <w:rsid w:val="0CD5224C"/>
    <w:rsid w:val="0D771EA7"/>
    <w:rsid w:val="0EE436A5"/>
    <w:rsid w:val="0F220B5F"/>
    <w:rsid w:val="104F2F73"/>
    <w:rsid w:val="110171B2"/>
    <w:rsid w:val="123900DB"/>
    <w:rsid w:val="124A1975"/>
    <w:rsid w:val="13392934"/>
    <w:rsid w:val="13D05981"/>
    <w:rsid w:val="14E836E8"/>
    <w:rsid w:val="15BE553B"/>
    <w:rsid w:val="161147C5"/>
    <w:rsid w:val="16A3322F"/>
    <w:rsid w:val="174F4418"/>
    <w:rsid w:val="17CD5A7B"/>
    <w:rsid w:val="187A66B9"/>
    <w:rsid w:val="19935127"/>
    <w:rsid w:val="1ACB37C1"/>
    <w:rsid w:val="1DE55E1B"/>
    <w:rsid w:val="1EB6286D"/>
    <w:rsid w:val="20F63843"/>
    <w:rsid w:val="22B32E1B"/>
    <w:rsid w:val="23944C77"/>
    <w:rsid w:val="249D5D77"/>
    <w:rsid w:val="255B7B59"/>
    <w:rsid w:val="27B70C8E"/>
    <w:rsid w:val="28E76E28"/>
    <w:rsid w:val="29BF17B7"/>
    <w:rsid w:val="2B4D1216"/>
    <w:rsid w:val="2C095760"/>
    <w:rsid w:val="2C4606A6"/>
    <w:rsid w:val="2E5B62FC"/>
    <w:rsid w:val="30B60AE3"/>
    <w:rsid w:val="30C4636F"/>
    <w:rsid w:val="36B15D02"/>
    <w:rsid w:val="36F84B57"/>
    <w:rsid w:val="38FC32F5"/>
    <w:rsid w:val="39030A9D"/>
    <w:rsid w:val="3CA66A58"/>
    <w:rsid w:val="3D5B3EF0"/>
    <w:rsid w:val="3ECD0998"/>
    <w:rsid w:val="3ED508CA"/>
    <w:rsid w:val="3FA42170"/>
    <w:rsid w:val="3FAF36DB"/>
    <w:rsid w:val="406A14B3"/>
    <w:rsid w:val="41855840"/>
    <w:rsid w:val="43146FF6"/>
    <w:rsid w:val="433204F8"/>
    <w:rsid w:val="44F46625"/>
    <w:rsid w:val="4599227F"/>
    <w:rsid w:val="45EA2721"/>
    <w:rsid w:val="46FE4C6E"/>
    <w:rsid w:val="472C72C1"/>
    <w:rsid w:val="47C04462"/>
    <w:rsid w:val="47D84F8A"/>
    <w:rsid w:val="47DB6ABB"/>
    <w:rsid w:val="49A97E85"/>
    <w:rsid w:val="4AC6206F"/>
    <w:rsid w:val="4C3F10FC"/>
    <w:rsid w:val="4F9F5231"/>
    <w:rsid w:val="5135665F"/>
    <w:rsid w:val="51CC648B"/>
    <w:rsid w:val="528B1069"/>
    <w:rsid w:val="53D170F4"/>
    <w:rsid w:val="56581D59"/>
    <w:rsid w:val="57203CEA"/>
    <w:rsid w:val="58AB4E89"/>
    <w:rsid w:val="5A2F5AF5"/>
    <w:rsid w:val="5AFF7905"/>
    <w:rsid w:val="5B492C91"/>
    <w:rsid w:val="5B7762E7"/>
    <w:rsid w:val="5F2F6349"/>
    <w:rsid w:val="5F600D4E"/>
    <w:rsid w:val="60D14125"/>
    <w:rsid w:val="64C14E5C"/>
    <w:rsid w:val="660E4242"/>
    <w:rsid w:val="677038E2"/>
    <w:rsid w:val="691D3648"/>
    <w:rsid w:val="69293200"/>
    <w:rsid w:val="694347AF"/>
    <w:rsid w:val="694F06EB"/>
    <w:rsid w:val="6BE35659"/>
    <w:rsid w:val="6BFE2EC1"/>
    <w:rsid w:val="6E083615"/>
    <w:rsid w:val="6E6F0BB4"/>
    <w:rsid w:val="6E9E6753"/>
    <w:rsid w:val="6F245D1C"/>
    <w:rsid w:val="6FC268FF"/>
    <w:rsid w:val="71A42B10"/>
    <w:rsid w:val="732872C5"/>
    <w:rsid w:val="76606718"/>
    <w:rsid w:val="76882F1E"/>
    <w:rsid w:val="7735668B"/>
    <w:rsid w:val="79C61A14"/>
    <w:rsid w:val="7A053543"/>
    <w:rsid w:val="7C4E5B9F"/>
    <w:rsid w:val="7E886BD8"/>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0"/>
    <w:semiHidden/>
    <w:unhideWhenUsed/>
    <w:uiPriority w:val="99"/>
    <w:rPr>
      <w:rFonts w:ascii="宋体" w:eastAsia="宋体"/>
      <w:sz w:val="18"/>
      <w:szCs w:val="18"/>
    </w:rPr>
  </w:style>
  <w:style w:type="paragraph" w:styleId="3">
    <w:name w:val="Body Text"/>
    <w:basedOn w:val="1"/>
    <w:unhideWhenUsed/>
    <w:qFormat/>
    <w:uiPriority w:val="99"/>
  </w:style>
  <w:style w:type="paragraph" w:styleId="4">
    <w:name w:val="Balloon Text"/>
    <w:basedOn w:val="1"/>
    <w:link w:val="21"/>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table" w:styleId="9">
    <w:name w:val="Table Grid"/>
    <w:basedOn w:val="8"/>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qFormat/>
    <w:uiPriority w:val="99"/>
    <w:rPr>
      <w:color w:val="0000FF"/>
      <w:u w:val="single"/>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paragraph" w:customStyle="1" w:styleId="14">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5">
    <w:name w:val="TF"/>
    <w:basedOn w:val="14"/>
    <w:qFormat/>
    <w:uiPriority w:val="0"/>
    <w:pPr>
      <w:keepNext w:val="0"/>
      <w:spacing w:before="0" w:after="240"/>
    </w:pPr>
  </w:style>
  <w:style w:type="paragraph" w:styleId="16">
    <w:name w:val="List Paragraph"/>
    <w:basedOn w:val="1"/>
    <w:qFormat/>
    <w:uiPriority w:val="34"/>
    <w:pPr>
      <w:ind w:firstLine="420" w:firstLineChars="200"/>
    </w:pPr>
  </w:style>
  <w:style w:type="paragraph" w:customStyle="1" w:styleId="17">
    <w:name w:val="B1"/>
    <w:basedOn w:val="7"/>
    <w:qFormat/>
    <w:uiPriority w:val="0"/>
  </w:style>
  <w:style w:type="paragraph" w:customStyle="1" w:styleId="18">
    <w:name w:val="Doc-text2"/>
    <w:basedOn w:val="1"/>
    <w:qFormat/>
    <w:uiPriority w:val="0"/>
    <w:pPr>
      <w:tabs>
        <w:tab w:val="left" w:pos="1622"/>
      </w:tabs>
      <w:ind w:left="1622" w:hanging="363"/>
      <w:jc w:val="left"/>
    </w:pPr>
    <w:rPr>
      <w:rFonts w:eastAsia="MS Mincho"/>
      <w:szCs w:val="24"/>
    </w:rPr>
  </w:style>
  <w:style w:type="paragraph" w:customStyle="1" w:styleId="19">
    <w:name w:val="Proposal"/>
    <w:basedOn w:val="3"/>
    <w:qFormat/>
    <w:uiPriority w:val="0"/>
    <w:pPr>
      <w:tabs>
        <w:tab w:val="left" w:pos="1701"/>
      </w:tabs>
    </w:pPr>
    <w:rPr>
      <w:rFonts w:ascii="Arial" w:hAnsi="Arial" w:eastAsia="等线"/>
      <w:b/>
      <w:bCs/>
      <w:sz w:val="20"/>
    </w:rPr>
  </w:style>
  <w:style w:type="character" w:customStyle="1" w:styleId="20">
    <w:name w:val="文档结构图 Char"/>
    <w:basedOn w:val="10"/>
    <w:link w:val="2"/>
    <w:semiHidden/>
    <w:uiPriority w:val="99"/>
    <w:rPr>
      <w:rFonts w:ascii="宋体" w:eastAsia="宋体"/>
      <w:kern w:val="2"/>
      <w:sz w:val="18"/>
      <w:szCs w:val="18"/>
    </w:rPr>
  </w:style>
  <w:style w:type="character" w:customStyle="1" w:styleId="21">
    <w:name w:val="批注框文本 Char"/>
    <w:basedOn w:val="10"/>
    <w:link w:val="4"/>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960</Words>
  <Characters>5472</Characters>
  <Lines>45</Lines>
  <Paragraphs>12</Paragraphs>
  <TotalTime>1</TotalTime>
  <ScaleCrop>false</ScaleCrop>
  <LinksUpToDate>false</LinksUpToDate>
  <CharactersWithSpaces>6420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2022-09-30T07:56:00Z</dcterms:created>
  <dc:creator>CMCC_TJY</dc:creator>
  <cp:lastModifiedBy>cmcc_TJY</cp:lastModifiedBy>
  <dcterms:modified xsi:type="dcterms:W3CDTF">2022-09-30T09:30:13Z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C0B14E931CDC48A686417606E6B8A8FB</vt:lpwstr>
  </property>
</Properties>
</file>